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B781" w14:textId="36B467BE" w:rsidR="00E63198" w:rsidRPr="00E63198" w:rsidRDefault="00E63198" w:rsidP="00E63198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Calibri"/>
          <w:b/>
          <w:kern w:val="0"/>
          <w:sz w:val="32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32"/>
          <w:szCs w:val="24"/>
          <w:lang w:eastAsia="pl-PL"/>
          <w14:ligatures w14:val="none"/>
        </w:rPr>
        <w:t xml:space="preserve">Objaśnienia przyjętych wartości do Wieloletniej Prognozy Finansowej Gminy </w:t>
      </w:r>
      <w:r w:rsidRPr="00E63198">
        <w:rPr>
          <w:rFonts w:ascii="Arial" w:eastAsia="Times New Roman" w:hAnsi="Arial" w:cs="Arial"/>
          <w:b/>
          <w:kern w:val="0"/>
          <w:sz w:val="32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b/>
          <w:kern w:val="0"/>
          <w:sz w:val="32"/>
          <w:szCs w:val="24"/>
          <w:lang w:eastAsia="pl-PL"/>
          <w14:ligatures w14:val="none"/>
        </w:rPr>
        <w:t xml:space="preserve"> na lata 2025-2039</w:t>
      </w:r>
    </w:p>
    <w:p w14:paraId="7D9BD48F" w14:textId="189F325D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Zgodnie ze zmianami w budżecie na dzień 17 grudnia 2025 r., dokonano następujących zmian w Wieloletniej Prognozie Finansowej Gminy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:</w:t>
      </w:r>
    </w:p>
    <w:p w14:paraId="5E366629" w14:textId="77777777" w:rsidR="00E63198" w:rsidRPr="00E63198" w:rsidRDefault="00E63198" w:rsidP="00E631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Dochody ogółem zmniejszono o 19 206,34 zł, z czego dochody bieżące zwiększono o 110 329,10 zł, a dochody majątkowe zmniejszono o 129 535,44 zł.</w:t>
      </w:r>
    </w:p>
    <w:p w14:paraId="67FA289B" w14:textId="77777777" w:rsidR="00E63198" w:rsidRPr="00E63198" w:rsidRDefault="00E63198" w:rsidP="00E631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Wydatki ogółem zmniejszono o 19 206,34 zł, z czego wydatki bieżące zwiększono o 105 954,10 zł, a wydatki majątkowe zmniejszono o 125 160,44 zł.</w:t>
      </w:r>
    </w:p>
    <w:p w14:paraId="02F4A9DD" w14:textId="77777777" w:rsidR="00E63198" w:rsidRPr="00E63198" w:rsidRDefault="00E63198" w:rsidP="00E631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Wynik budżetu nie uległ zmianie.</w:t>
      </w:r>
    </w:p>
    <w:p w14:paraId="7F2537CE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Szczegółowe informacje na temat zmian w zakresie dochodów, wydatków i wyniku budżetu w roku budżetowym przedstawiono w tabeli poniżej.</w:t>
      </w:r>
    </w:p>
    <w:p w14:paraId="51DAE6B4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Zmiany w dochodach i wydatkach w 2025 roku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5EE8711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5D16487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0A606A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221A662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F902AD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4DA5FB7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47CC83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B7D7DCD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49 811 340,91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5014DC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-19 206,34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3D31A3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49 792 134,57</w:t>
            </w:r>
          </w:p>
        </w:tc>
      </w:tr>
      <w:tr w:rsidR="00E63198" w:rsidRPr="00E63198" w14:paraId="119B7E8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AD592D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42F5BA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36 753 844,56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D9CD72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+110 329,10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AB3EF8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36 864 173,66</w:t>
            </w:r>
          </w:p>
        </w:tc>
      </w:tr>
      <w:tr w:rsidR="00E63198" w:rsidRPr="00E63198" w14:paraId="5660717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5527B28" w14:textId="77777777" w:rsidR="00E63198" w:rsidRPr="00E63198" w:rsidRDefault="00E63198" w:rsidP="00E63198">
            <w:pPr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84B6D2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5 803 892,77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0A7067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+85 329,10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AF33B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5 889 221,87</w:t>
            </w:r>
          </w:p>
        </w:tc>
      </w:tr>
      <w:tr w:rsidR="00E63198" w:rsidRPr="00E63198" w14:paraId="31CAC1CD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EE991C" w14:textId="77777777" w:rsidR="00E63198" w:rsidRPr="00E63198" w:rsidRDefault="00E63198" w:rsidP="00E63198">
            <w:pPr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7492B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9 508 882,53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2CBA7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+25 000,00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DFA2E2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9 533 882,53</w:t>
            </w:r>
          </w:p>
        </w:tc>
      </w:tr>
      <w:tr w:rsidR="00E63198" w:rsidRPr="00E63198" w14:paraId="49508AD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79B1B6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A35D99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13 057 496,35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4A7F30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-129 535,44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3FE2EA8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12 927 960,91</w:t>
            </w:r>
          </w:p>
        </w:tc>
      </w:tr>
      <w:tr w:rsidR="00E63198" w:rsidRPr="00E63198" w14:paraId="1B89FDF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EA5F13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74E2C01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54 875 634,88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FADC82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-19 206,34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EA3F45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54 856 428,54</w:t>
            </w:r>
          </w:p>
        </w:tc>
      </w:tr>
      <w:tr w:rsidR="00E63198" w:rsidRPr="00E63198" w14:paraId="55742F3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E042D9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1714412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35 899 518,63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4D13B9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+105 954,10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FA67FD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36 005 472,73</w:t>
            </w:r>
          </w:p>
        </w:tc>
      </w:tr>
      <w:tr w:rsidR="00E63198" w:rsidRPr="00E63198" w14:paraId="052B8DF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438CA5" w14:textId="77777777" w:rsidR="00E63198" w:rsidRPr="00E63198" w:rsidRDefault="00E63198" w:rsidP="00E63198">
            <w:pPr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777CF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17 377 573,66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02069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-198 650,51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2C2C5D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17 178 923,15</w:t>
            </w:r>
          </w:p>
        </w:tc>
      </w:tr>
      <w:tr w:rsidR="00E63198" w:rsidRPr="00E63198" w14:paraId="7E0EF45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2F0EDB4" w14:textId="77777777" w:rsidR="00E63198" w:rsidRPr="00E63198" w:rsidRDefault="00E63198" w:rsidP="00E63198">
            <w:pPr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Obsługa długu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DC081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950 000,00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72F590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+66 000,00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78743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1 016 000,00</w:t>
            </w:r>
          </w:p>
        </w:tc>
      </w:tr>
      <w:tr w:rsidR="00E63198" w:rsidRPr="00E63198" w14:paraId="6F0B39A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C07457" w14:textId="77777777" w:rsidR="00E63198" w:rsidRPr="00E63198" w:rsidRDefault="00E63198" w:rsidP="00E63198">
            <w:pPr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3BF31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17 536 868,62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E89544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+238 604,61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B30D2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17 775 473,23</w:t>
            </w:r>
          </w:p>
        </w:tc>
      </w:tr>
      <w:tr w:rsidR="00E63198" w:rsidRPr="00E63198" w14:paraId="174DCA6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B06C67" w14:textId="77777777" w:rsidR="00E63198" w:rsidRPr="00E63198" w:rsidRDefault="00E63198" w:rsidP="00E63198">
            <w:pPr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3B7B11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18 976 116,25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ED183C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-125 160,44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5C7A690" w14:textId="77777777" w:rsidR="00E63198" w:rsidRPr="00E63198" w:rsidRDefault="00E63198" w:rsidP="00E63198">
            <w:pPr>
              <w:jc w:val="right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18 850 955,81</w:t>
            </w:r>
          </w:p>
        </w:tc>
      </w:tr>
    </w:tbl>
    <w:p w14:paraId="1E5A1D45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0221A9BA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 okresie prognozy WPF dokonano zmian w zakresie planowanych dochodów bieżących. Zmiany przedstawiono w tabeli poniżej.</w:t>
      </w:r>
    </w:p>
    <w:p w14:paraId="6078E6E3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Zmiany w dochodach bieżących w okresie prognozy WPF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58B4BC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3E73A7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E78857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662DB3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F3F96F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434D6149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BB6455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04C74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35 891 843,00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5DC3B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+1 358 155,00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29090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37 249 998,00</w:t>
            </w:r>
          </w:p>
        </w:tc>
      </w:tr>
    </w:tbl>
    <w:p w14:paraId="0A9A0963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5266C29A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 okresie prognozy WPF dokonano zmian w zakresie planowanych wydatków bieżących i majątkowych. Zmiany przedstawiono w tabelach poniżej.</w:t>
      </w:r>
    </w:p>
    <w:p w14:paraId="4B446B28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Zmiany w wydatkach bieżących w okresie prognozy WPF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157F68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ACFB5E0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810BC6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AD63A6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D4C466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633523E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E741E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D7FD4D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39 426 242,00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1D70A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-300 000,00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769B6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39 126 242,00</w:t>
            </w:r>
          </w:p>
        </w:tc>
      </w:tr>
    </w:tbl>
    <w:p w14:paraId="08AFFC97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6279D6E3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Zmiany w wydatkach majątkowych w okresie prognozy WPF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63A68B6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735BED8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E75263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508BCA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90F8677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6C73B23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73DBD5E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6966A4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18 915 783,00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79242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+1 658 155,00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96CC2A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20 573 938,00</w:t>
            </w:r>
          </w:p>
        </w:tc>
      </w:tr>
    </w:tbl>
    <w:p w14:paraId="2D88E15E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773A9083" w14:textId="7BA4F2D3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W Wieloletniej Prognozie Finansowej Gminy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:</w:t>
      </w:r>
    </w:p>
    <w:p w14:paraId="1CC6E8BA" w14:textId="77777777" w:rsidR="00E63198" w:rsidRPr="00E63198" w:rsidRDefault="00E63198" w:rsidP="00E631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Przychody ogółem w roku budżetowym nie uległy zmianie.</w:t>
      </w:r>
    </w:p>
    <w:p w14:paraId="15DAFA38" w14:textId="77777777" w:rsidR="00E63198" w:rsidRPr="00E63198" w:rsidRDefault="00E63198" w:rsidP="00E631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Rozchody ogółem w roku budżetowym nie uległy zmianie.</w:t>
      </w:r>
    </w:p>
    <w:p w14:paraId="0CBDF73C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Od 2026 nie dokonywano zmian w zakresie planowanych przychodów.</w:t>
      </w:r>
    </w:p>
    <w:p w14:paraId="6EC277CF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Od 2026 dokonano zmian w zakresie planowanych rozchodów. Zmiany przedstawiono w tabeli poniżej.</w:t>
      </w:r>
    </w:p>
    <w:p w14:paraId="357B3730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lastRenderedPageBreak/>
        <w:t>Zmiany w rozchodach zwrotnych w okresie prognozy WPF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07A212D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00F0FF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62A4831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206CAB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F5D967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4115203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BAAF4E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7E4295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1 501 395,00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11C42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-300 000,00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F9E905D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1 201 395,00</w:t>
            </w:r>
          </w:p>
        </w:tc>
      </w:tr>
      <w:tr w:rsidR="00E63198" w:rsidRPr="00E63198" w14:paraId="0A9D2DE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81D56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9E531E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1 482 500,00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B74D9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27A2CC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1 482 500,00</w:t>
            </w:r>
          </w:p>
        </w:tc>
      </w:tr>
      <w:tr w:rsidR="00E63198" w:rsidRPr="00E63198" w14:paraId="264725E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AF6967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0F718C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7DE04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1121B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</w:tr>
      <w:tr w:rsidR="00E63198" w:rsidRPr="00E63198" w14:paraId="1184C9B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284C54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91633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987C8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2EDA2A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</w:tr>
      <w:tr w:rsidR="00E63198" w:rsidRPr="00E63198" w14:paraId="1DA11A0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3A3E8E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7E8A5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08E847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+300 000,00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7BFCE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2 000 000,00</w:t>
            </w:r>
          </w:p>
        </w:tc>
      </w:tr>
    </w:tbl>
    <w:p w14:paraId="48716E84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42A99937" w14:textId="7110FF23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W zakresie zawartych umów, rozchody Gminy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 zaplanowano zgodnie z harmonogramami. W tabeli poniżej spłatę ww. zobowiązań przedstawiono w kolumnie „Zobowiązanie historyczne”.</w:t>
      </w:r>
    </w:p>
    <w:p w14:paraId="7F67B5F5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Spłatę zobowiązania planowanego do zaciągnięcia ujęto w latach 2025-2039. W tabeli poniżej spłatę ww. zobowiązań przedstawiono w kolumnie „Zobowiązanie planowane”.</w:t>
      </w:r>
    </w:p>
    <w:p w14:paraId="48BC762F" w14:textId="0EFBACA6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 xml:space="preserve">Spłata zaciągniętych i planowanych zobowiązań Gminy </w:t>
      </w: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Międzybórz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241457B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96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0EBE6C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ABE471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Zobowiązanie historyczne [zł]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667872A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Zobowiązanie planowane [zł]</w:t>
            </w:r>
          </w:p>
        </w:tc>
        <w:tc>
          <w:tcPr>
            <w:tcW w:w="2592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B91982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Zobowiązania razem [zł]</w:t>
            </w:r>
          </w:p>
        </w:tc>
      </w:tr>
      <w:tr w:rsidR="00E63198" w:rsidRPr="00E63198" w14:paraId="60D69AA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759F88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760A0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1 549 360,00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6AD44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5DA02C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1 849 360,00</w:t>
            </w:r>
          </w:p>
        </w:tc>
      </w:tr>
      <w:tr w:rsidR="00E63198" w:rsidRPr="00E63198" w14:paraId="26A4C06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3F84E11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7D7A1A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1 201 395,00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60E4A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E30867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1 201 395,00</w:t>
            </w:r>
          </w:p>
        </w:tc>
      </w:tr>
      <w:tr w:rsidR="00E63198" w:rsidRPr="00E63198" w14:paraId="0C0A846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75280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8D3F6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1 382 500,00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C6285C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07386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1 482 500,00</w:t>
            </w:r>
          </w:p>
        </w:tc>
      </w:tr>
      <w:tr w:rsidR="00E63198" w:rsidRPr="00E63198" w14:paraId="2CAB0CD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A855E59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813F6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1 600 000,00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69CEF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35F2A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</w:tr>
      <w:tr w:rsidR="00E63198" w:rsidRPr="00E63198" w14:paraId="1412338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179C72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D9982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B0039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A867A6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</w:tr>
      <w:tr w:rsidR="00E63198" w:rsidRPr="00E63198" w14:paraId="033D49F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50B7B7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A494E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1 600 000,00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F0A52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6FC971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2 000 000,00</w:t>
            </w:r>
          </w:p>
        </w:tc>
      </w:tr>
      <w:tr w:rsidR="00E63198" w:rsidRPr="00E63198" w14:paraId="1388375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4B3ED4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B62A6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8584A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63F4008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1 900 000,00</w:t>
            </w:r>
          </w:p>
        </w:tc>
      </w:tr>
      <w:tr w:rsidR="00E63198" w:rsidRPr="00E63198" w14:paraId="3FC0F07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BEF20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58851D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1 700 000,00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9F7596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12E13F8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1 900 000,00</w:t>
            </w:r>
          </w:p>
        </w:tc>
      </w:tr>
      <w:tr w:rsidR="00E63198" w:rsidRPr="00E63198" w14:paraId="5A7E4F5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7D65AE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2033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6B117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1 400 000,00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88B94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38861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1 800 000,00</w:t>
            </w:r>
          </w:p>
        </w:tc>
      </w:tr>
      <w:tr w:rsidR="00E63198" w:rsidRPr="00E63198" w14:paraId="4D843E51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AB6B504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2034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E4B305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58999C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ADD0E8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  <w:tr w:rsidR="00E63198" w:rsidRPr="00E63198" w14:paraId="174D5C4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57965F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C30986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534B6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7FCFA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  <w:tr w:rsidR="00E63198" w:rsidRPr="00E63198" w14:paraId="12A67A4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DB101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805814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3D2D5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40298A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  <w:tr w:rsidR="00E63198" w:rsidRPr="00E63198" w14:paraId="36C122F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AD160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6332BDD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2699E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7EAD38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  <w:tr w:rsidR="00E63198" w:rsidRPr="00E63198" w14:paraId="3301713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66C6B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E2B07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A99092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C01901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  <w:tr w:rsidR="00E63198" w:rsidRPr="00E63198" w14:paraId="4B4042F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600611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D5ACE4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56843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1A0BB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800 000,00</w:t>
            </w:r>
          </w:p>
        </w:tc>
      </w:tr>
    </w:tbl>
    <w:p w14:paraId="7B571077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561FB1A5" w14:textId="609E8A3C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Zmiany w Wieloletniej Prognozie Finansowej Gminy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 na lata 2025-2039 spowodowały modyfikacje w kształtowaniu się relacji z art. 243 ustawy o finansach publicznych. Szczegóły zaprezentowano w tabeli poniżej.</w:t>
      </w:r>
    </w:p>
    <w:p w14:paraId="18EEF012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Kształtowanie się relacji z art. 243 ust. 1 ustawy o finansach publicznych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1511"/>
        <w:gridCol w:w="1511"/>
        <w:gridCol w:w="1511"/>
        <w:gridCol w:w="1515"/>
      </w:tblGrid>
      <w:tr w:rsidR="00E63198" w:rsidRPr="00E63198" w14:paraId="5964222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17C8FF3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AB139A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 xml:space="preserve">Obsługa zadłużenia (fakt. i plan. po </w:t>
            </w:r>
            <w:proofErr w:type="spellStart"/>
            <w:r w:rsidRPr="00E63198">
              <w:rPr>
                <w:rFonts w:ascii="Arial" w:hAnsi="Arial" w:cs="Arial"/>
                <w:b/>
                <w:sz w:val="20"/>
              </w:rPr>
              <w:t>wyłączeniach</w:t>
            </w:r>
            <w:proofErr w:type="spellEnd"/>
            <w:r w:rsidRPr="00E63198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1BC8DF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F5E942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1023F14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3A9B49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Zachowanie relacji z art. 243 (w oparciu o wykonanie)</w:t>
            </w:r>
          </w:p>
        </w:tc>
      </w:tr>
      <w:tr w:rsidR="00E63198" w:rsidRPr="00E63198" w14:paraId="5A1D28E8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7E00F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9F7C75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A6424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9,34%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4934B8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786704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9,64%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F14C02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10EBFEDE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B72CB7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3B398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4,08%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1BC49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51C40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3DAEF7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9,14%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122037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1772886C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89D502F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19EFA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4,19%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C0ADFD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9,34%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39E13F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82F2D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9,64%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DAA4053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23A1B1DC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FE849A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D5EBB9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64FC94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9,65%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DEA7E51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7FCC01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9,95%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631ECF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2F9CEACE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D31036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5CBFB8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D33B0E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315D36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5BCF4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10,08%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2C1E8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613863CC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E8A3AC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4DBD83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4,77%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102DB4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8,85%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5A2DAB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AE0AA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DB96E2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2A401E45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59612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F0D90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4,27%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C3B74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10,03%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5B7D7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E9AB3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10,33%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5ABE3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62D93B53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8D61242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875BF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4,03%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E02BC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10,57%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FD818F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060313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10,57%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54D559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27E33C1F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C5C534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2B44D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3,83%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EFDBE7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11,00%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81599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857A94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11,00%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60639C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7550F32E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38626E9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8F949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43ED1A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7EBB12C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F8BDB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925843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2EB7117B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8E1AAE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lastRenderedPageBreak/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A25F8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1,89%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36869E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10,27%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DD7426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61C201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10,27%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072F88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01369DB2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0266172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B7517A6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6190ED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10,17%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A5B88F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A2B942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10,17%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1A9FC08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54E3360A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74C608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1FCAA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1,64%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6AD283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10,06%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EC9E19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F79EFF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10,06%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3F68F45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5119C2C3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9CEDBC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E58FF71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1,53%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74C6A17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9,84%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98EDE9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8FEA9A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9,84%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CBFB1EE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  <w:tr w:rsidR="00E63198" w:rsidRPr="00E63198" w14:paraId="124410A5" w14:textId="77777777">
        <w:tblPrEx>
          <w:tblCellMar>
            <w:top w:w="0" w:type="dxa"/>
            <w:bottom w:w="0" w:type="dxa"/>
          </w:tblCellMar>
        </w:tblPrEx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51A1BB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2039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B67C8B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1,42%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5D4B2C5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BDAF3FA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9CE9170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9,73%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AE6ACC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TAK</w:t>
            </w:r>
          </w:p>
        </w:tc>
      </w:tr>
    </w:tbl>
    <w:p w14:paraId="583F3912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0C7D4B0C" w14:textId="018D5C1F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Dane w tabeli powyżej wskazują, że w całym okresie prognozy Miasto i Gmina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 spełnia relację, o której mowa w art. 243 ust. 1 ustawy o finansach publicznych. Spełnienie dotyczy zarówno relacji obliczonej na podstawie planu na dzień 30.09.2024 r. jak i w oparciu o dane z wykonania budżetu.</w:t>
      </w:r>
    </w:p>
    <w:p w14:paraId="3DB4C73A" w14:textId="3D35C668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Zmiana Wieloletniej Prognozy Finansowej Gminy 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Międzybórz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 obejmuje również zmiany w załączniku nr 2, które szczegółowo opisano poniżej.</w:t>
      </w:r>
    </w:p>
    <w:p w14:paraId="5B4BDAEE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Do załącznika przedsięwzięć dodano następujące przedsięwzięcia:</w:t>
      </w:r>
    </w:p>
    <w:p w14:paraId="081AB4A8" w14:textId="77777777" w:rsidR="00E63198" w:rsidRPr="00E63198" w:rsidRDefault="00E63198" w:rsidP="00E631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Inspektor nadzoru inwestorskiego przy renowacjach i konserwacjach zabytków  – zadanie majątkowe, które ma być realizowane w latach 2025-2026. Łączne nakłady planowane na realizację zadania wynoszą 30 000,00 zł, w tym w 2025 r. ‒ 0,00 zł. Limit zobowiązań dla zadania wynosi 30 000,00 zł. Jednostką realizującą jest Urząd Miasta i Gminy w Międzyborzu.</w:t>
      </w:r>
    </w:p>
    <w:p w14:paraId="03913C7E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Dokonano zmian w zakresie następujących przedsięwzięć:</w:t>
      </w:r>
    </w:p>
    <w:p w14:paraId="75CA6EBC" w14:textId="77777777" w:rsidR="00E63198" w:rsidRPr="00E63198" w:rsidRDefault="00E63198" w:rsidP="00E631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 zakresie programów, projektów lub zadań innych (finansowanych ze środków krajowych):</w:t>
      </w:r>
    </w:p>
    <w:p w14:paraId="72070EA4" w14:textId="77777777" w:rsidR="00E63198" w:rsidRPr="00E63198" w:rsidRDefault="00E63198" w:rsidP="00E6319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Renowacja i konserwacja pomnika nagrobnego Caroliny Sophii Elizabeth Adamy – zmiana w przedsięwzięciu obejmuje m.in.:</w:t>
      </w:r>
    </w:p>
    <w:p w14:paraId="13C99C99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zmniejszenie limitu wydatków na realizację zadania w roku budżetowym o kwotę 149 000,00 zł;</w:t>
      </w:r>
    </w:p>
    <w:p w14:paraId="3889462A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zwiększenie limitu wydatków na realizację zadania w roku 2026 o kwotę 149 000,00 zł;</w:t>
      </w:r>
    </w:p>
    <w:p w14:paraId="05559606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wydłużenie horyzontu czasowego przedsięwzięcia do roku 2026;</w:t>
      </w:r>
    </w:p>
    <w:p w14:paraId="3F6912B6" w14:textId="77777777" w:rsidR="00E63198" w:rsidRPr="00E63198" w:rsidRDefault="00E63198" w:rsidP="00E6319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Renowacja kaplicy grobowej rodziny von </w:t>
      </w:r>
      <w:proofErr w:type="spellStart"/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Weger</w:t>
      </w:r>
      <w:proofErr w:type="spellEnd"/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 xml:space="preserve">  – zmiana w przedsięwzięciu obejmuje m.in.:</w:t>
      </w:r>
    </w:p>
    <w:p w14:paraId="3CFFA23D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zwiększenie łącznych nakładów ogółem, limitu wydatków na realizację zadania w roku budżetowym oraz limitu zobowiązań o kwotę 11 000,00 zł;</w:t>
      </w:r>
    </w:p>
    <w:p w14:paraId="35FFDAFF" w14:textId="286F28F0" w:rsidR="00E63198" w:rsidRPr="00E63198" w:rsidRDefault="00E63198" w:rsidP="00E63198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Zagospodarowanie przestrzeni publicznej Placu Społecznego w Mi</w:t>
      </w:r>
      <w:r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ę</w:t>
      </w: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dzyborzu – zmiana w przedsięwzięciu (część majątkowa) obejmuje m.in.:</w:t>
      </w:r>
    </w:p>
    <w:p w14:paraId="33814480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zwiększenie łącznych nakładów ogółem oraz limitu zobowiązań na realizację zadania o kwotę 507 300,00 zł;</w:t>
      </w:r>
    </w:p>
    <w:p w14:paraId="012DB081" w14:textId="77777777" w:rsidR="00E63198" w:rsidRPr="00E63198" w:rsidRDefault="00E63198" w:rsidP="00E63198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zwiększenie limitu wydatków na realizację zadania w roku 2026 o kwotę 507 300,00 zł.</w:t>
      </w:r>
    </w:p>
    <w:p w14:paraId="50D8FBB6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Zmiany wprowadzone w wykazie wieloletnich przedsięwzięć nie spowodowały zmiany horyzontu czasowego załącznika nr 2 WPF.</w:t>
      </w:r>
    </w:p>
    <w:p w14:paraId="2F3D4D76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Zmiany wprowadzone w wykazie wieloletnich przedsięwzięć wpłynęły na zmianę pozycji 10.1.2 WPF, co przedstawiono w tabeli poniżej.</w:t>
      </w:r>
    </w:p>
    <w:p w14:paraId="5DD16CBA" w14:textId="77777777" w:rsidR="00E63198" w:rsidRPr="00E63198" w:rsidRDefault="00E63198" w:rsidP="00E63198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Calibri"/>
          <w:b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  <w:t>Zmiany w wydatkach majątkowych objętych limitem z art. 226 ust. 3 pkt 4</w:t>
      </w:r>
    </w:p>
    <w:tbl>
      <w:tblPr>
        <w:tblStyle w:val="Tabela-Prosty11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63198" w:rsidRPr="00E63198" w14:paraId="01BEC7C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644F2A3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E1D339A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151735D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C37726" w14:textId="77777777" w:rsidR="00E63198" w:rsidRPr="00E63198" w:rsidRDefault="00E63198" w:rsidP="00E63198">
            <w:pPr>
              <w:jc w:val="center"/>
              <w:rPr>
                <w:rFonts w:ascii="Arial" w:hAnsi="Arial"/>
                <w:b/>
                <w:sz w:val="20"/>
              </w:rPr>
            </w:pPr>
            <w:r w:rsidRPr="00E63198">
              <w:rPr>
                <w:rFonts w:ascii="Arial" w:hAnsi="Arial" w:cs="Arial"/>
                <w:b/>
                <w:sz w:val="20"/>
              </w:rPr>
              <w:t>Po zmianie [zł]</w:t>
            </w:r>
          </w:p>
        </w:tc>
      </w:tr>
      <w:tr w:rsidR="00E63198" w:rsidRPr="00E63198" w14:paraId="7A75AF8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0297AD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8189C9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9 333 777,00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18FCED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-138 000,00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4FFF563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9 195 777,00</w:t>
            </w:r>
          </w:p>
        </w:tc>
      </w:tr>
      <w:tr w:rsidR="00E63198" w:rsidRPr="00E63198" w14:paraId="58ADCA8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FDBC2B6" w14:textId="77777777" w:rsidR="00E63198" w:rsidRPr="00E63198" w:rsidRDefault="00E63198" w:rsidP="00E63198">
            <w:pPr>
              <w:jc w:val="center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CC96C8C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19 886 937,76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562C0C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+686 300,00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2E4A57F" w14:textId="77777777" w:rsidR="00E63198" w:rsidRPr="00E63198" w:rsidRDefault="00E63198" w:rsidP="00E63198">
            <w:pPr>
              <w:jc w:val="right"/>
              <w:rPr>
                <w:rFonts w:ascii="Arial" w:hAnsi="Arial"/>
                <w:sz w:val="20"/>
              </w:rPr>
            </w:pPr>
            <w:r w:rsidRPr="00E63198">
              <w:rPr>
                <w:rFonts w:ascii="Arial" w:hAnsi="Arial" w:cs="Arial"/>
                <w:sz w:val="20"/>
              </w:rPr>
              <w:t>20 573 237,76</w:t>
            </w:r>
          </w:p>
        </w:tc>
      </w:tr>
    </w:tbl>
    <w:p w14:paraId="1E3EC11C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Źródło: opracowanie własne.</w:t>
      </w:r>
    </w:p>
    <w:p w14:paraId="68830784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05C44393" w14:textId="77777777" w:rsidR="00E63198" w:rsidRPr="00E63198" w:rsidRDefault="00E63198" w:rsidP="00E6319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Calibri"/>
          <w:kern w:val="0"/>
          <w:sz w:val="20"/>
          <w:szCs w:val="24"/>
          <w:lang w:eastAsia="pl-PL"/>
          <w14:ligatures w14:val="none"/>
        </w:rPr>
      </w:pPr>
      <w:r w:rsidRPr="00E63198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Pełen zakres zmian obrazują załączniki nr 1 i 2 do niniejszej uchwały.</w:t>
      </w:r>
    </w:p>
    <w:p w14:paraId="5561121A" w14:textId="77777777" w:rsidR="00E63198" w:rsidRPr="00E63198" w:rsidRDefault="00E63198" w:rsidP="00E6319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kern w:val="0"/>
          <w:szCs w:val="24"/>
          <w:lang w:eastAsia="pl-PL"/>
          <w14:ligatures w14:val="none"/>
        </w:rPr>
      </w:pPr>
    </w:p>
    <w:p w14:paraId="196315FF" w14:textId="77777777" w:rsidR="00051E0B" w:rsidRDefault="00051E0B"/>
    <w:sectPr w:rsidR="00051E0B" w:rsidSect="00E63198">
      <w:pgSz w:w="11909" w:h="16834"/>
      <w:pgMar w:top="1411" w:right="1411" w:bottom="1411" w:left="141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61AF"/>
    <w:multiLevelType w:val="hybridMultilevel"/>
    <w:tmpl w:val="FFFFFFFF"/>
    <w:lvl w:ilvl="0" w:tplc="450D242C">
      <w:start w:val="1"/>
      <w:numFmt w:val="decimal"/>
      <w:lvlText w:val="%1."/>
      <w:lvlJc w:val="left"/>
      <w:pPr>
        <w:ind w:left="709" w:hanging="425"/>
      </w:pPr>
    </w:lvl>
    <w:lvl w:ilvl="1" w:tplc="13EF40FC">
      <w:start w:val="1"/>
      <w:numFmt w:val="decimal"/>
      <w:lvlText w:val="%1."/>
      <w:lvlJc w:val="left"/>
      <w:pPr>
        <w:ind w:left="1417" w:hanging="425"/>
      </w:pPr>
    </w:lvl>
    <w:lvl w:ilvl="2" w:tplc="20D23A88">
      <w:start w:val="1"/>
      <w:numFmt w:val="decimal"/>
      <w:lvlText w:val="%1."/>
      <w:lvlJc w:val="left"/>
      <w:pPr>
        <w:ind w:left="2126" w:hanging="425"/>
      </w:pPr>
    </w:lvl>
    <w:lvl w:ilvl="3" w:tplc="28F97C1E">
      <w:start w:val="1"/>
      <w:numFmt w:val="decimal"/>
      <w:lvlText w:val="%1."/>
      <w:lvlJc w:val="left"/>
    </w:lvl>
    <w:lvl w:ilvl="4" w:tplc="4792355E">
      <w:start w:val="1"/>
      <w:numFmt w:val="decimal"/>
      <w:lvlText w:val="%1."/>
      <w:lvlJc w:val="left"/>
    </w:lvl>
    <w:lvl w:ilvl="5" w:tplc="212EF282">
      <w:start w:val="1"/>
      <w:numFmt w:val="decimal"/>
      <w:lvlText w:val="%1."/>
      <w:lvlJc w:val="left"/>
    </w:lvl>
    <w:lvl w:ilvl="6" w:tplc="064C7CD1">
      <w:start w:val="1"/>
      <w:numFmt w:val="decimal"/>
      <w:lvlText w:val="%1."/>
      <w:lvlJc w:val="left"/>
    </w:lvl>
    <w:lvl w:ilvl="7" w:tplc="2BF1B490">
      <w:start w:val="1"/>
      <w:numFmt w:val="decimal"/>
      <w:lvlText w:val="%1."/>
      <w:lvlJc w:val="left"/>
    </w:lvl>
    <w:lvl w:ilvl="8" w:tplc="2D57609D">
      <w:start w:val="1"/>
      <w:numFmt w:val="decimal"/>
      <w:lvlText w:val="%1."/>
      <w:lvlJc w:val="left"/>
    </w:lvl>
  </w:abstractNum>
  <w:abstractNum w:abstractNumId="1" w15:restartNumberingAfterBreak="0">
    <w:nsid w:val="18DCABBF"/>
    <w:multiLevelType w:val="hybridMultilevel"/>
    <w:tmpl w:val="FFFFFFFF"/>
    <w:lvl w:ilvl="0" w:tplc="7DCCAA2C">
      <w:start w:val="1"/>
      <w:numFmt w:val="decimal"/>
      <w:lvlText w:val="%1."/>
      <w:lvlJc w:val="left"/>
      <w:pPr>
        <w:ind w:left="709" w:hanging="425"/>
      </w:pPr>
    </w:lvl>
    <w:lvl w:ilvl="1" w:tplc="5EF5B528">
      <w:start w:val="1"/>
      <w:numFmt w:val="decimal"/>
      <w:lvlText w:val="%2)"/>
      <w:lvlJc w:val="left"/>
      <w:pPr>
        <w:ind w:left="1417" w:hanging="425"/>
      </w:pPr>
    </w:lvl>
    <w:lvl w:ilvl="2" w:tplc="2D488410">
      <w:start w:val="1"/>
      <w:numFmt w:val="lowerLetter"/>
      <w:lvlText w:val="%3."/>
      <w:lvlJc w:val="left"/>
      <w:pPr>
        <w:ind w:left="2126" w:hanging="425"/>
      </w:pPr>
    </w:lvl>
    <w:lvl w:ilvl="3" w:tplc="37767633">
      <w:start w:val="1"/>
      <w:numFmt w:val="decimal"/>
      <w:lvlText w:val="%1."/>
      <w:lvlJc w:val="left"/>
    </w:lvl>
    <w:lvl w:ilvl="4" w:tplc="1970A627">
      <w:start w:val="1"/>
      <w:numFmt w:val="decimal"/>
      <w:lvlText w:val="%1."/>
      <w:lvlJc w:val="left"/>
    </w:lvl>
    <w:lvl w:ilvl="5" w:tplc="7E48096D">
      <w:start w:val="1"/>
      <w:numFmt w:val="decimal"/>
      <w:lvlText w:val="%1."/>
      <w:lvlJc w:val="left"/>
    </w:lvl>
    <w:lvl w:ilvl="6" w:tplc="4AF9AAEA">
      <w:start w:val="1"/>
      <w:numFmt w:val="decimal"/>
      <w:lvlText w:val="%1."/>
      <w:lvlJc w:val="left"/>
    </w:lvl>
    <w:lvl w:ilvl="7" w:tplc="386F83D9">
      <w:start w:val="1"/>
      <w:numFmt w:val="decimal"/>
      <w:lvlText w:val="%1."/>
      <w:lvlJc w:val="left"/>
    </w:lvl>
    <w:lvl w:ilvl="8" w:tplc="1EECFC8B">
      <w:start w:val="1"/>
      <w:numFmt w:val="decimal"/>
      <w:lvlText w:val="%1."/>
      <w:lvlJc w:val="left"/>
    </w:lvl>
  </w:abstractNum>
  <w:abstractNum w:abstractNumId="2" w15:restartNumberingAfterBreak="0">
    <w:nsid w:val="278EF73F"/>
    <w:multiLevelType w:val="hybridMultilevel"/>
    <w:tmpl w:val="FFFFFFFF"/>
    <w:lvl w:ilvl="0" w:tplc="43B243CC">
      <w:start w:val="1"/>
      <w:numFmt w:val="decimal"/>
      <w:lvlText w:val="%1."/>
      <w:lvlJc w:val="left"/>
      <w:pPr>
        <w:ind w:left="709" w:hanging="425"/>
      </w:pPr>
    </w:lvl>
    <w:lvl w:ilvl="1" w:tplc="75E90AA6">
      <w:start w:val="1"/>
      <w:numFmt w:val="decimal"/>
      <w:lvlText w:val="%1."/>
      <w:lvlJc w:val="left"/>
      <w:pPr>
        <w:ind w:left="1417" w:hanging="425"/>
      </w:pPr>
    </w:lvl>
    <w:lvl w:ilvl="2" w:tplc="296A5566">
      <w:start w:val="1"/>
      <w:numFmt w:val="decimal"/>
      <w:lvlText w:val="%1."/>
      <w:lvlJc w:val="left"/>
      <w:pPr>
        <w:ind w:left="2126" w:hanging="425"/>
      </w:pPr>
    </w:lvl>
    <w:lvl w:ilvl="3" w:tplc="24354B1D">
      <w:start w:val="1"/>
      <w:numFmt w:val="decimal"/>
      <w:lvlText w:val="%1."/>
      <w:lvlJc w:val="left"/>
    </w:lvl>
    <w:lvl w:ilvl="4" w:tplc="26B9EE51">
      <w:start w:val="1"/>
      <w:numFmt w:val="decimal"/>
      <w:lvlText w:val="%1."/>
      <w:lvlJc w:val="left"/>
    </w:lvl>
    <w:lvl w:ilvl="5" w:tplc="508D8934">
      <w:start w:val="1"/>
      <w:numFmt w:val="decimal"/>
      <w:lvlText w:val="%1."/>
      <w:lvlJc w:val="left"/>
    </w:lvl>
    <w:lvl w:ilvl="6" w:tplc="6060C703">
      <w:start w:val="1"/>
      <w:numFmt w:val="decimal"/>
      <w:lvlText w:val="%1."/>
      <w:lvlJc w:val="left"/>
    </w:lvl>
    <w:lvl w:ilvl="7" w:tplc="6902E3F6">
      <w:start w:val="1"/>
      <w:numFmt w:val="decimal"/>
      <w:lvlText w:val="%1."/>
      <w:lvlJc w:val="left"/>
    </w:lvl>
    <w:lvl w:ilvl="8" w:tplc="26D4E011">
      <w:start w:val="1"/>
      <w:numFmt w:val="decimal"/>
      <w:lvlText w:val="%1."/>
      <w:lvlJc w:val="left"/>
    </w:lvl>
  </w:abstractNum>
  <w:abstractNum w:abstractNumId="3" w15:restartNumberingAfterBreak="0">
    <w:nsid w:val="376F05E8"/>
    <w:multiLevelType w:val="hybridMultilevel"/>
    <w:tmpl w:val="FFFFFFFF"/>
    <w:lvl w:ilvl="0" w:tplc="4EDEC74F">
      <w:start w:val="1"/>
      <w:numFmt w:val="decimal"/>
      <w:lvlText w:val="%1."/>
      <w:lvlJc w:val="left"/>
      <w:pPr>
        <w:ind w:left="709" w:hanging="425"/>
      </w:pPr>
    </w:lvl>
    <w:lvl w:ilvl="1" w:tplc="7652DB3F">
      <w:start w:val="1"/>
      <w:numFmt w:val="decimal"/>
      <w:lvlText w:val="%1."/>
      <w:lvlJc w:val="left"/>
      <w:pPr>
        <w:ind w:left="1417" w:hanging="425"/>
      </w:pPr>
    </w:lvl>
    <w:lvl w:ilvl="2" w:tplc="1EA3C926">
      <w:start w:val="1"/>
      <w:numFmt w:val="decimal"/>
      <w:lvlText w:val="%1."/>
      <w:lvlJc w:val="left"/>
      <w:pPr>
        <w:ind w:left="2126" w:hanging="425"/>
      </w:pPr>
    </w:lvl>
    <w:lvl w:ilvl="3" w:tplc="1B9F4921">
      <w:start w:val="1"/>
      <w:numFmt w:val="decimal"/>
      <w:lvlText w:val="%1."/>
      <w:lvlJc w:val="left"/>
    </w:lvl>
    <w:lvl w:ilvl="4" w:tplc="2A206819">
      <w:start w:val="1"/>
      <w:numFmt w:val="decimal"/>
      <w:lvlText w:val="%1."/>
      <w:lvlJc w:val="left"/>
    </w:lvl>
    <w:lvl w:ilvl="5" w:tplc="2058F57F">
      <w:start w:val="1"/>
      <w:numFmt w:val="decimal"/>
      <w:lvlText w:val="%1."/>
      <w:lvlJc w:val="left"/>
    </w:lvl>
    <w:lvl w:ilvl="6" w:tplc="3ED8480F">
      <w:start w:val="1"/>
      <w:numFmt w:val="decimal"/>
      <w:lvlText w:val="%1."/>
      <w:lvlJc w:val="left"/>
    </w:lvl>
    <w:lvl w:ilvl="7" w:tplc="645CB776">
      <w:start w:val="1"/>
      <w:numFmt w:val="decimal"/>
      <w:lvlText w:val="%1."/>
      <w:lvlJc w:val="left"/>
    </w:lvl>
    <w:lvl w:ilvl="8" w:tplc="3970257E">
      <w:start w:val="1"/>
      <w:numFmt w:val="decimal"/>
      <w:lvlText w:val="%1."/>
      <w:lvlJc w:val="left"/>
    </w:lvl>
  </w:abstractNum>
  <w:num w:numId="1" w16cid:durableId="456221214">
    <w:abstractNumId w:val="3"/>
  </w:num>
  <w:num w:numId="2" w16cid:durableId="2004773813">
    <w:abstractNumId w:val="0"/>
  </w:num>
  <w:num w:numId="3" w16cid:durableId="1217085792">
    <w:abstractNumId w:val="2"/>
  </w:num>
  <w:num w:numId="4" w16cid:durableId="106129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98"/>
    <w:rsid w:val="00051E0B"/>
    <w:rsid w:val="008664C0"/>
    <w:rsid w:val="009939A0"/>
    <w:rsid w:val="00C71C44"/>
    <w:rsid w:val="00E6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7A0B"/>
  <w15:chartTrackingRefBased/>
  <w15:docId w15:val="{8AD2F35B-A72C-4E9E-9A6F-854F7E57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198"/>
    <w:rPr>
      <w:b/>
      <w:bCs/>
      <w:smallCaps/>
      <w:color w:val="2F5496" w:themeColor="accent1" w:themeShade="BF"/>
      <w:spacing w:val="5"/>
    </w:rPr>
  </w:style>
  <w:style w:type="table" w:customStyle="1" w:styleId="Tabela-Prosty11">
    <w:name w:val="Tabela - Prosty 11"/>
    <w:basedOn w:val="Standardowy"/>
    <w:next w:val="Tabela-Prosty1"/>
    <w:uiPriority w:val="99"/>
    <w:rsid w:val="00E63198"/>
    <w:pPr>
      <w:autoSpaceDE w:val="0"/>
      <w:autoSpaceDN w:val="0"/>
      <w:adjustRightInd w:val="0"/>
      <w:spacing w:after="0" w:line="240" w:lineRule="auto"/>
    </w:pPr>
    <w:rPr>
      <w:rFonts w:eastAsia="Times New Roman" w:cs="Calibri"/>
      <w:kern w:val="0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E631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Międzybórz</dc:creator>
  <cp:keywords/>
  <dc:description/>
  <cp:lastModifiedBy>Gmina Międzybórz</cp:lastModifiedBy>
  <cp:revision>1</cp:revision>
  <dcterms:created xsi:type="dcterms:W3CDTF">2025-12-10T09:39:00Z</dcterms:created>
  <dcterms:modified xsi:type="dcterms:W3CDTF">2025-12-10T09:41:00Z</dcterms:modified>
</cp:coreProperties>
</file>