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1DE07" w14:textId="5344A4A3" w:rsidR="00541227" w:rsidRPr="00BE65DC" w:rsidRDefault="002641F6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bookmarkStart w:id="0" w:name="_GoBack"/>
      <w:bookmarkEnd w:id="0"/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541227"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411F7874" w14:textId="6B04633F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6C5D77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6C5D77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….</w:t>
      </w:r>
    </w:p>
    <w:p w14:paraId="6F5CBFAC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7675F21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7</w:t>
      </w: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sierpnia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</w:t>
      </w:r>
      <w:r w:rsidRPr="007A17A6">
        <w:rPr>
          <w:sz w:val="22"/>
          <w:szCs w:val="22"/>
          <w:shd w:val="clear" w:color="auto" w:fill="FFFFFF"/>
        </w:rPr>
        <w:lastRenderedPageBreak/>
        <w:t xml:space="preserve">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lastRenderedPageBreak/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</w:t>
      </w:r>
      <w:r w:rsidRPr="007A17A6">
        <w:rPr>
          <w:sz w:val="22"/>
          <w:szCs w:val="22"/>
          <w:shd w:val="clear" w:color="auto" w:fill="FFFFFF"/>
        </w:rPr>
        <w:lastRenderedPageBreak/>
        <w:t>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</w:t>
      </w:r>
      <w:r>
        <w:rPr>
          <w:sz w:val="22"/>
          <w:szCs w:val="22"/>
          <w:shd w:val="clear" w:color="auto" w:fill="FFFFFF"/>
        </w:rPr>
        <w:lastRenderedPageBreak/>
        <w:t xml:space="preserve">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1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1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2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2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lastRenderedPageBreak/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lastRenderedPageBreak/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</w:t>
      </w:r>
      <w:r w:rsidR="00AF0773" w:rsidRPr="00626DAB">
        <w:rPr>
          <w:sz w:val="22"/>
          <w:szCs w:val="22"/>
        </w:rPr>
        <w:lastRenderedPageBreak/>
        <w:t>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lastRenderedPageBreak/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3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3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lastRenderedPageBreak/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lastRenderedPageBreak/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lastRenderedPageBreak/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</w:t>
      </w:r>
      <w:r w:rsidRPr="00626DAB">
        <w:rPr>
          <w:sz w:val="22"/>
          <w:szCs w:val="22"/>
        </w:rPr>
        <w:lastRenderedPageBreak/>
        <w:t xml:space="preserve">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lastRenderedPageBreak/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lastRenderedPageBreak/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F6DCBF5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</w:t>
      </w:r>
      <w:r w:rsidR="004460CF">
        <w:t xml:space="preserve">; </w:t>
      </w:r>
      <w:r w:rsidR="00805FE5">
        <w:t xml:space="preserve">Istniejące zadanie </w:t>
      </w:r>
      <w:r w:rsidR="004460CF">
        <w:t xml:space="preserve"> Modernizacja infrastruktury drogowej w sołectwach Gminy Międzybórz</w:t>
      </w:r>
      <w:r w:rsidR="00805FE5">
        <w:t xml:space="preserve"> wydłużono na rok 2026.</w:t>
      </w:r>
      <w:r w:rsidR="004460CF">
        <w:t xml:space="preserve"> 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7BDFD39" w14:textId="34D05FF1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27 sierpnia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6EA83D5C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746E177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5447391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E123348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BE2269" w:rsidRPr="00F36C3F" w14:paraId="23062532" w14:textId="77777777" w:rsidTr="00BC33C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E14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C3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C50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4573" w14:textId="6F87CE30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27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6C58EABD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F87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902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6BAE" w14:textId="61F28DEC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1 465 496,19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B4393EB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48 816 923,19</w:t>
            </w:r>
          </w:p>
        </w:tc>
      </w:tr>
      <w:tr w:rsidR="00BE2269" w:rsidRPr="00F36C3F" w14:paraId="30A1BB25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4D4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FB5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A6A" w14:textId="7FC45718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1 715 347,74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06FC0359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35 366 544,74</w:t>
            </w:r>
          </w:p>
        </w:tc>
      </w:tr>
      <w:tr w:rsidR="00BE2269" w:rsidRPr="00F36C3F" w14:paraId="3B8F0DB6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36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E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362" w14:textId="5DE2A643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BE2269" w:rsidRPr="00F36C3F" w14:paraId="4865ADB9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08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39E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64BD" w14:textId="16998F0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BE2269" w:rsidRPr="00F36C3F" w14:paraId="6105EA52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D6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B05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5B8F" w14:textId="3F06414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BE2269" w:rsidRPr="00BE2269" w14:paraId="52B5B298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6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E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573F" w14:textId="6666A0ED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1 481 216,48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2A4BE853" w:rsidR="00BE2269" w:rsidRPr="00BE2269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4 567 810,48</w:t>
            </w:r>
          </w:p>
        </w:tc>
      </w:tr>
      <w:tr w:rsidR="00BE2269" w:rsidRPr="00F36C3F" w14:paraId="33302783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AF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C5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9E0" w14:textId="368FEE74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BE2269" w:rsidRPr="00F36C3F" w14:paraId="139F833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BA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C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935D" w14:textId="0FC41952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124468B4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13 450 378,45</w:t>
            </w:r>
          </w:p>
        </w:tc>
      </w:tr>
      <w:tr w:rsidR="00BE2269" w:rsidRPr="00F36C3F" w14:paraId="310E84FC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1D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0E2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2AA" w14:textId="65E719D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BE2269" w:rsidRPr="00F36C3F" w14:paraId="7128E77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90B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5C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98B6" w14:textId="3DE53AF6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51CE8C9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13 235 378,45</w:t>
            </w:r>
          </w:p>
        </w:tc>
      </w:tr>
    </w:tbl>
    <w:p w14:paraId="4945E98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1C9339" w14:textId="3474B68D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lastRenderedPageBreak/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716 347,74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196B8C">
        <w:rPr>
          <w:i/>
          <w:sz w:val="22"/>
          <w:szCs w:val="22"/>
          <w:u w:val="single"/>
        </w:rPr>
        <w:t>5 366 544,74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548A781" w14:textId="7777777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5F4EE9BC" w14:textId="702BAE7E" w:rsidR="00BE2269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 sierpnia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13 45</w:t>
      </w:r>
      <w:r w:rsidR="00196B8C">
        <w:rPr>
          <w:i/>
          <w:sz w:val="22"/>
          <w:szCs w:val="22"/>
          <w:u w:val="single"/>
        </w:rPr>
        <w:t>0 378,45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169C462" w14:textId="77777777" w:rsidR="00BE2269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019FE3C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6DF32795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425F7D" w14:textId="77777777" w:rsidR="00BE2269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2156140E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BE2269" w:rsidRPr="00F36C3F" w14:paraId="10F1AE0D" w14:textId="77777777" w:rsidTr="00BC33C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829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D3F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9E28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72F62" w14:textId="70A2744B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96B8C">
              <w:rPr>
                <w:sz w:val="14"/>
                <w:szCs w:val="14"/>
              </w:rPr>
              <w:t>7</w:t>
            </w:r>
            <w:r w:rsidRPr="00F36C3F">
              <w:rPr>
                <w:sz w:val="14"/>
                <w:szCs w:val="14"/>
              </w:rPr>
              <w:t>.0</w:t>
            </w:r>
            <w:r w:rsidR="00196B8C">
              <w:rPr>
                <w:sz w:val="14"/>
                <w:szCs w:val="14"/>
              </w:rPr>
              <w:t>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71488393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E55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2E7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31AB" w14:textId="5E37000F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4 292 532,09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0B1251E9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53 794 599,09</w:t>
            </w:r>
          </w:p>
        </w:tc>
      </w:tr>
      <w:tr w:rsidR="00BE2269" w:rsidRPr="00F36C3F" w14:paraId="4CDF75DF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E9C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0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685" w14:textId="7FD5F5D3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2 856 212,06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0AAFB984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34 082 859,06</w:t>
            </w:r>
          </w:p>
        </w:tc>
      </w:tr>
      <w:tr w:rsidR="00BE2269" w:rsidRPr="00F36C3F" w14:paraId="5182F54C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4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546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B428" w14:textId="36BDC13B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BE2269" w:rsidRPr="00F36C3F" w14:paraId="68F01980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AA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5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956" w14:textId="651FCC09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BE2269" w:rsidRPr="00F36C3F" w14:paraId="46297692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6E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3BA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E040" w14:textId="15045331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1 436 320,03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39C237E6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19 711 740,03</w:t>
            </w:r>
          </w:p>
        </w:tc>
      </w:tr>
    </w:tbl>
    <w:p w14:paraId="3FB6A983" w14:textId="77777777" w:rsidR="00BE2269" w:rsidRPr="00F36C3F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5D91E4B3" w14:textId="3767FCE5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96B8C">
        <w:rPr>
          <w:i/>
          <w:sz w:val="22"/>
          <w:szCs w:val="22"/>
          <w:u w:val="single"/>
        </w:rPr>
        <w:t>2 856 212,06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96B8C">
        <w:rPr>
          <w:i/>
          <w:sz w:val="22"/>
          <w:szCs w:val="22"/>
          <w:u w:val="single"/>
        </w:rPr>
        <w:t>34 082 859,06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40FF8643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</w:p>
    <w:p w14:paraId="25CE8D03" w14:textId="37419703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4</w:t>
      </w:r>
      <w:r w:rsidR="00196B8C">
        <w:rPr>
          <w:i/>
          <w:sz w:val="22"/>
          <w:szCs w:val="22"/>
          <w:u w:val="single"/>
        </w:rPr>
        <w:t>36 320,03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19</w:t>
      </w:r>
      <w:r w:rsidR="00196B8C">
        <w:rPr>
          <w:i/>
          <w:sz w:val="22"/>
          <w:szCs w:val="22"/>
          <w:u w:val="single"/>
        </w:rPr>
        <w:t> 711 740,03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004694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4448BE89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35C26883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7E3029A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8BAD120" w14:textId="32B2673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27 sierpnia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1F56A01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</w:t>
      </w:r>
      <w:r w:rsidRPr="00626DAB">
        <w:rPr>
          <w:sz w:val="22"/>
          <w:szCs w:val="22"/>
        </w:rPr>
        <w:lastRenderedPageBreak/>
        <w:t>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4EF076BD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A080A59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81E26F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0ED87799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2170CFB2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FDCB275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50B727B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D7A8E7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1B7301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6BBB9354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160FDC3B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79807E66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17E0D62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6BD44C07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4A75AA2B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0E16C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7A8BA98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AF286F7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530882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E2F7A9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B43E58A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6C99C20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F774BEB" w14:textId="31F72E38" w:rsidR="00BE2269" w:rsidRPr="00626DAB" w:rsidRDefault="00BE2269" w:rsidP="00BE2269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lastRenderedPageBreak/>
        <w:t>Na dzień 2</w:t>
      </w:r>
      <w:r w:rsidR="00196B8C">
        <w:rPr>
          <w:sz w:val="22"/>
          <w:szCs w:val="22"/>
          <w:shd w:val="clear" w:color="auto" w:fill="FFFFFF"/>
        </w:rPr>
        <w:t>7 sierpnia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EA85D79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C16C265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102C9BEC" w14:textId="77777777" w:rsidR="00BE2269" w:rsidRPr="00A95A88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A6670B2" w14:textId="06B933EC" w:rsidR="00BE2269" w:rsidRPr="00A95A88" w:rsidRDefault="00BE2269" w:rsidP="00BE2269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5043EB">
        <w:rPr>
          <w:i/>
          <w:sz w:val="22"/>
          <w:szCs w:val="22"/>
          <w:u w:val="single"/>
        </w:rPr>
        <w:t>7</w:t>
      </w:r>
      <w:r w:rsidRPr="00A95A88">
        <w:rPr>
          <w:i/>
          <w:sz w:val="22"/>
          <w:szCs w:val="22"/>
          <w:u w:val="single"/>
        </w:rPr>
        <w:t xml:space="preserve"> </w:t>
      </w:r>
      <w:r w:rsidR="005043EB">
        <w:rPr>
          <w:i/>
          <w:sz w:val="22"/>
          <w:szCs w:val="22"/>
          <w:u w:val="single"/>
        </w:rPr>
        <w:t>sierpnia</w:t>
      </w:r>
      <w:r w:rsidRPr="00A95A88">
        <w:rPr>
          <w:i/>
          <w:sz w:val="22"/>
          <w:szCs w:val="22"/>
          <w:u w:val="single"/>
        </w:rPr>
        <w:t xml:space="preserve"> 2025 roku wprowadzono now</w:t>
      </w:r>
      <w:r w:rsidR="005043EB"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</w:t>
      </w:r>
      <w:r w:rsidR="005043EB" w:rsidRPr="00A95A88">
        <w:rPr>
          <w:i/>
          <w:sz w:val="22"/>
          <w:szCs w:val="22"/>
          <w:u w:val="single"/>
        </w:rPr>
        <w:t>przedsięwzię</w:t>
      </w:r>
      <w:r w:rsidR="005043EB"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6FE2CD6" w14:textId="7AF55DF2" w:rsidR="00BE2269" w:rsidRPr="005043EB" w:rsidRDefault="00BE2269" w:rsidP="005043EB">
      <w:pPr>
        <w:pStyle w:val="Akapitzlist"/>
        <w:numPr>
          <w:ilvl w:val="0"/>
          <w:numId w:val="44"/>
        </w:numPr>
        <w:jc w:val="both"/>
        <w:rPr>
          <w:i/>
        </w:rPr>
      </w:pPr>
      <w:r w:rsidRPr="005043EB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00AF538" w14:textId="746CF46F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 w:rsidR="005043EB"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 w:rsidR="005043EB"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7F6E3943" w14:textId="77777777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4297A9F7" w14:textId="77777777" w:rsidR="00BE2269" w:rsidRPr="00A95A88" w:rsidRDefault="00BE2269" w:rsidP="00BE2269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F602E7D" w14:textId="77777777" w:rsidR="00BE2269" w:rsidRPr="00A95A88" w:rsidRDefault="00BE2269" w:rsidP="005043E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7E44F5F" w14:textId="77777777" w:rsidR="00BE2269" w:rsidRPr="00A95A88" w:rsidRDefault="00BE2269" w:rsidP="00BE2269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4CC5C0CF" w14:textId="77777777" w:rsidR="00BE2269" w:rsidRPr="00A95A88" w:rsidRDefault="00BE2269" w:rsidP="005043EB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lastRenderedPageBreak/>
        <w:t>W zakresie wydatków na programy, projekty lub zadania pozostałe</w:t>
      </w:r>
    </w:p>
    <w:p w14:paraId="5982A21C" w14:textId="77777777" w:rsidR="00BE2269" w:rsidRPr="00A95A88" w:rsidRDefault="00BE2269" w:rsidP="00BE2269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0391EF02" w14:textId="154BCA98" w:rsidR="00BE2269" w:rsidRPr="00A95A88" w:rsidRDefault="00BE2269" w:rsidP="00BE2269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</w:t>
      </w:r>
      <w:r w:rsidR="005043EB">
        <w:t xml:space="preserve">; 4. Wprowadzono nowe przedsięwzięcie Opracowanie dokumentacji projektowej dla chodnika na ulicy Polnej w Międzyborzu; 5. Przebudowa ulicy Granicznej w Międzyborzu. </w:t>
      </w: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Pr="00541227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FE4FCE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1D46E" w14:textId="77777777" w:rsidR="006E4F47" w:rsidRDefault="006E4F47">
      <w:r>
        <w:separator/>
      </w:r>
    </w:p>
  </w:endnote>
  <w:endnote w:type="continuationSeparator" w:id="0">
    <w:p w14:paraId="3D994F1C" w14:textId="77777777" w:rsidR="006E4F47" w:rsidRDefault="006E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C1896">
      <w:rPr>
        <w:noProof/>
      </w:rPr>
      <w:t>16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5A1C0" w14:textId="77777777" w:rsidR="006E4F47" w:rsidRDefault="006E4F47">
      <w:r>
        <w:separator/>
      </w:r>
    </w:p>
  </w:footnote>
  <w:footnote w:type="continuationSeparator" w:id="0">
    <w:p w14:paraId="798B6794" w14:textId="77777777" w:rsidR="006E4F47" w:rsidRDefault="006E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73C0"/>
    <w:multiLevelType w:val="hybridMultilevel"/>
    <w:tmpl w:val="EF10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9404D"/>
    <w:multiLevelType w:val="hybridMultilevel"/>
    <w:tmpl w:val="C70A4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8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2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17FD8"/>
    <w:multiLevelType w:val="hybridMultilevel"/>
    <w:tmpl w:val="C4EE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2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41"/>
  </w:num>
  <w:num w:numId="4">
    <w:abstractNumId w:val="16"/>
  </w:num>
  <w:num w:numId="5">
    <w:abstractNumId w:val="21"/>
  </w:num>
  <w:num w:numId="6">
    <w:abstractNumId w:val="42"/>
  </w:num>
  <w:num w:numId="7">
    <w:abstractNumId w:val="39"/>
  </w:num>
  <w:num w:numId="8">
    <w:abstractNumId w:val="34"/>
  </w:num>
  <w:num w:numId="9">
    <w:abstractNumId w:val="40"/>
  </w:num>
  <w:num w:numId="10">
    <w:abstractNumId w:val="6"/>
  </w:num>
  <w:num w:numId="11">
    <w:abstractNumId w:val="24"/>
  </w:num>
  <w:num w:numId="12">
    <w:abstractNumId w:val="11"/>
  </w:num>
  <w:num w:numId="13">
    <w:abstractNumId w:val="15"/>
  </w:num>
  <w:num w:numId="14">
    <w:abstractNumId w:val="3"/>
  </w:num>
  <w:num w:numId="15">
    <w:abstractNumId w:val="19"/>
  </w:num>
  <w:num w:numId="16">
    <w:abstractNumId w:val="28"/>
  </w:num>
  <w:num w:numId="17">
    <w:abstractNumId w:val="35"/>
  </w:num>
  <w:num w:numId="18">
    <w:abstractNumId w:val="32"/>
  </w:num>
  <w:num w:numId="19">
    <w:abstractNumId w:val="0"/>
  </w:num>
  <w:num w:numId="20">
    <w:abstractNumId w:val="7"/>
  </w:num>
  <w:num w:numId="21">
    <w:abstractNumId w:val="5"/>
  </w:num>
  <w:num w:numId="22">
    <w:abstractNumId w:val="22"/>
  </w:num>
  <w:num w:numId="23">
    <w:abstractNumId w:val="25"/>
  </w:num>
  <w:num w:numId="24">
    <w:abstractNumId w:val="17"/>
  </w:num>
  <w:num w:numId="25">
    <w:abstractNumId w:val="10"/>
  </w:num>
  <w:num w:numId="26">
    <w:abstractNumId w:val="9"/>
  </w:num>
  <w:num w:numId="27">
    <w:abstractNumId w:val="31"/>
  </w:num>
  <w:num w:numId="28">
    <w:abstractNumId w:val="2"/>
  </w:num>
  <w:num w:numId="29">
    <w:abstractNumId w:val="12"/>
  </w:num>
  <w:num w:numId="30">
    <w:abstractNumId w:val="43"/>
  </w:num>
  <w:num w:numId="31">
    <w:abstractNumId w:val="14"/>
  </w:num>
  <w:num w:numId="32">
    <w:abstractNumId w:val="30"/>
  </w:num>
  <w:num w:numId="33">
    <w:abstractNumId w:val="26"/>
  </w:num>
  <w:num w:numId="34">
    <w:abstractNumId w:val="20"/>
  </w:num>
  <w:num w:numId="35">
    <w:abstractNumId w:val="1"/>
  </w:num>
  <w:num w:numId="36">
    <w:abstractNumId w:val="27"/>
  </w:num>
  <w:num w:numId="37">
    <w:abstractNumId w:val="13"/>
  </w:num>
  <w:num w:numId="38">
    <w:abstractNumId w:val="37"/>
  </w:num>
  <w:num w:numId="39">
    <w:abstractNumId w:val="4"/>
  </w:num>
  <w:num w:numId="40">
    <w:abstractNumId w:val="8"/>
  </w:num>
  <w:num w:numId="41">
    <w:abstractNumId w:val="33"/>
  </w:num>
  <w:num w:numId="42">
    <w:abstractNumId w:val="36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D6E4F"/>
    <w:rsid w:val="000E2E92"/>
    <w:rsid w:val="000E4116"/>
    <w:rsid w:val="000E6103"/>
    <w:rsid w:val="000F1160"/>
    <w:rsid w:val="000F68F7"/>
    <w:rsid w:val="00106EB0"/>
    <w:rsid w:val="00121ABA"/>
    <w:rsid w:val="00122D87"/>
    <w:rsid w:val="00141277"/>
    <w:rsid w:val="001435B8"/>
    <w:rsid w:val="00154E00"/>
    <w:rsid w:val="00196B8C"/>
    <w:rsid w:val="001B7220"/>
    <w:rsid w:val="001C42A0"/>
    <w:rsid w:val="001F0EE8"/>
    <w:rsid w:val="001F3286"/>
    <w:rsid w:val="001F4D8B"/>
    <w:rsid w:val="00231D6D"/>
    <w:rsid w:val="00246F90"/>
    <w:rsid w:val="002641F6"/>
    <w:rsid w:val="002775C1"/>
    <w:rsid w:val="002B345F"/>
    <w:rsid w:val="002C1896"/>
    <w:rsid w:val="00302BDE"/>
    <w:rsid w:val="00332963"/>
    <w:rsid w:val="00352C31"/>
    <w:rsid w:val="00395E76"/>
    <w:rsid w:val="003A34BC"/>
    <w:rsid w:val="003A6CE2"/>
    <w:rsid w:val="00423329"/>
    <w:rsid w:val="00426CF3"/>
    <w:rsid w:val="00427BA2"/>
    <w:rsid w:val="004460CF"/>
    <w:rsid w:val="004473B5"/>
    <w:rsid w:val="0046278E"/>
    <w:rsid w:val="0047699B"/>
    <w:rsid w:val="00481FD2"/>
    <w:rsid w:val="004A390B"/>
    <w:rsid w:val="004B6A8E"/>
    <w:rsid w:val="004C59A7"/>
    <w:rsid w:val="004D4E28"/>
    <w:rsid w:val="005043EB"/>
    <w:rsid w:val="00510C69"/>
    <w:rsid w:val="00541227"/>
    <w:rsid w:val="00554310"/>
    <w:rsid w:val="005749AF"/>
    <w:rsid w:val="00595A06"/>
    <w:rsid w:val="005A180F"/>
    <w:rsid w:val="005A3CC6"/>
    <w:rsid w:val="005B3B62"/>
    <w:rsid w:val="005B7722"/>
    <w:rsid w:val="005E3297"/>
    <w:rsid w:val="005E7E62"/>
    <w:rsid w:val="0061433F"/>
    <w:rsid w:val="00626DAB"/>
    <w:rsid w:val="00630C4C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C5D77"/>
    <w:rsid w:val="006E4F47"/>
    <w:rsid w:val="006F2531"/>
    <w:rsid w:val="006F766E"/>
    <w:rsid w:val="00706795"/>
    <w:rsid w:val="00706CC8"/>
    <w:rsid w:val="00722AEB"/>
    <w:rsid w:val="007745CD"/>
    <w:rsid w:val="00775848"/>
    <w:rsid w:val="00796A4A"/>
    <w:rsid w:val="007B13C0"/>
    <w:rsid w:val="007D27FF"/>
    <w:rsid w:val="007F6AEF"/>
    <w:rsid w:val="00805FE5"/>
    <w:rsid w:val="00806A68"/>
    <w:rsid w:val="00807424"/>
    <w:rsid w:val="00827263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5F9A"/>
    <w:rsid w:val="0094308B"/>
    <w:rsid w:val="009518AD"/>
    <w:rsid w:val="00956FA3"/>
    <w:rsid w:val="00976D4D"/>
    <w:rsid w:val="009770CB"/>
    <w:rsid w:val="00984F90"/>
    <w:rsid w:val="00986501"/>
    <w:rsid w:val="009A04F5"/>
    <w:rsid w:val="009B6589"/>
    <w:rsid w:val="009C123D"/>
    <w:rsid w:val="009D4EB7"/>
    <w:rsid w:val="009D5854"/>
    <w:rsid w:val="009F6304"/>
    <w:rsid w:val="00A0601C"/>
    <w:rsid w:val="00A32507"/>
    <w:rsid w:val="00A45425"/>
    <w:rsid w:val="00A516AA"/>
    <w:rsid w:val="00A95A88"/>
    <w:rsid w:val="00AA346B"/>
    <w:rsid w:val="00AF0773"/>
    <w:rsid w:val="00B10A8D"/>
    <w:rsid w:val="00B34C9F"/>
    <w:rsid w:val="00B8018C"/>
    <w:rsid w:val="00B82454"/>
    <w:rsid w:val="00B86821"/>
    <w:rsid w:val="00B91AC0"/>
    <w:rsid w:val="00B96215"/>
    <w:rsid w:val="00BC1E55"/>
    <w:rsid w:val="00BD0197"/>
    <w:rsid w:val="00BD47E6"/>
    <w:rsid w:val="00BE2269"/>
    <w:rsid w:val="00BE65DC"/>
    <w:rsid w:val="00C46AFC"/>
    <w:rsid w:val="00C94E04"/>
    <w:rsid w:val="00CB750A"/>
    <w:rsid w:val="00CD39D2"/>
    <w:rsid w:val="00D112CF"/>
    <w:rsid w:val="00D258B5"/>
    <w:rsid w:val="00D30E96"/>
    <w:rsid w:val="00D331FD"/>
    <w:rsid w:val="00D4112B"/>
    <w:rsid w:val="00D50272"/>
    <w:rsid w:val="00DA5CF0"/>
    <w:rsid w:val="00E012A4"/>
    <w:rsid w:val="00E050E8"/>
    <w:rsid w:val="00E13A8A"/>
    <w:rsid w:val="00E245E7"/>
    <w:rsid w:val="00E3240D"/>
    <w:rsid w:val="00E52B5A"/>
    <w:rsid w:val="00E72A21"/>
    <w:rsid w:val="00E74703"/>
    <w:rsid w:val="00F10CC3"/>
    <w:rsid w:val="00F14F40"/>
    <w:rsid w:val="00F36C3F"/>
    <w:rsid w:val="00F54A7B"/>
    <w:rsid w:val="00F743D0"/>
    <w:rsid w:val="00F90AFF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6302</Words>
  <Characters>37812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UMIG-RADA</cp:lastModifiedBy>
  <cp:revision>2</cp:revision>
  <cp:lastPrinted>2025-08-20T09:50:00Z</cp:lastPrinted>
  <dcterms:created xsi:type="dcterms:W3CDTF">2025-08-20T09:50:00Z</dcterms:created>
  <dcterms:modified xsi:type="dcterms:W3CDTF">2025-08-20T09:50:00Z</dcterms:modified>
</cp:coreProperties>
</file>